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AE57" w14:textId="77777777" w:rsidR="00211277" w:rsidRPr="00211277" w:rsidRDefault="00211277" w:rsidP="0021127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1277">
        <w:rPr>
          <w:rFonts w:ascii="Times New Roman" w:eastAsia="Times New Roman" w:hAnsi="Times New Roman" w:cs="Times New Roman"/>
          <w:b/>
          <w:bCs/>
          <w:sz w:val="27"/>
          <w:szCs w:val="27"/>
        </w:rPr>
        <w:t>RESOLUTION NO. [XXXX]</w:t>
      </w:r>
    </w:p>
    <w:p w14:paraId="0CCA20F1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b/>
          <w:bCs/>
        </w:rPr>
        <w:t>A RESOLUTION TO PREPARE FOR ELECTION DAY HAND COUNT AND HAND TALLY PROCEDURES IF LEGISLATIVE CHANGES PERMIT</w:t>
      </w:r>
    </w:p>
    <w:p w14:paraId="415E6F27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211277">
        <w:rPr>
          <w:rFonts w:ascii="Times New Roman" w:eastAsia="Times New Roman" w:hAnsi="Times New Roman" w:cs="Times New Roman"/>
        </w:rPr>
        <w:t>WHEREAS,</w:t>
      </w:r>
      <w:proofErr w:type="gramEnd"/>
      <w:r w:rsidRPr="00211277">
        <w:rPr>
          <w:rFonts w:ascii="Times New Roman" w:eastAsia="Times New Roman" w:hAnsi="Times New Roman" w:cs="Times New Roman"/>
        </w:rPr>
        <w:t xml:space="preserve"> the City/Town of [Municipality Name] is committed to ensuring the highest standards of accuracy, transparency, and public confidence in the electoral process; and</w:t>
      </w:r>
    </w:p>
    <w:p w14:paraId="5EDB0E72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211277">
        <w:rPr>
          <w:rFonts w:ascii="Times New Roman" w:eastAsia="Times New Roman" w:hAnsi="Times New Roman" w:cs="Times New Roman"/>
        </w:rPr>
        <w:t>WHEREAS,</w:t>
      </w:r>
      <w:proofErr w:type="gramEnd"/>
      <w:r w:rsidRPr="00211277">
        <w:rPr>
          <w:rFonts w:ascii="Times New Roman" w:eastAsia="Times New Roman" w:hAnsi="Times New Roman" w:cs="Times New Roman"/>
        </w:rPr>
        <w:t xml:space="preserve"> Minnesota’s 2024 election laws currently require ballots to be sealed immediately after the close of polls, preventing hand counting of ballots on Election Day; and</w:t>
      </w:r>
    </w:p>
    <w:p w14:paraId="14C61F1B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211277">
        <w:rPr>
          <w:rFonts w:ascii="Times New Roman" w:eastAsia="Times New Roman" w:hAnsi="Times New Roman" w:cs="Times New Roman"/>
        </w:rPr>
        <w:t>WHEREAS,</w:t>
      </w:r>
      <w:proofErr w:type="gramEnd"/>
      <w:r w:rsidRPr="00211277">
        <w:rPr>
          <w:rFonts w:ascii="Times New Roman" w:eastAsia="Times New Roman" w:hAnsi="Times New Roman" w:cs="Times New Roman"/>
        </w:rPr>
        <w:t xml:space="preserve"> election hand counts and tallies conducted alongside machine counts provide an additional layer of verification and can strengthen trust in election results; and</w:t>
      </w:r>
    </w:p>
    <w:p w14:paraId="0FA413AC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211277">
        <w:rPr>
          <w:rFonts w:ascii="Times New Roman" w:eastAsia="Times New Roman" w:hAnsi="Times New Roman" w:cs="Times New Roman"/>
        </w:rPr>
        <w:t>WHEREAS,</w:t>
      </w:r>
      <w:proofErr w:type="gramEnd"/>
      <w:r w:rsidRPr="00211277">
        <w:rPr>
          <w:rFonts w:ascii="Times New Roman" w:eastAsia="Times New Roman" w:hAnsi="Times New Roman" w:cs="Times New Roman"/>
        </w:rPr>
        <w:t xml:space="preserve"> the City/Town of [Municipality Name] recognizes the importance of readiness and training to implement hand count procedures should future legislative changes permit such practices; and</w:t>
      </w:r>
    </w:p>
    <w:p w14:paraId="24935E31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211277">
        <w:rPr>
          <w:rFonts w:ascii="Times New Roman" w:eastAsia="Times New Roman" w:hAnsi="Times New Roman" w:cs="Times New Roman"/>
        </w:rPr>
        <w:t>WHEREAS,</w:t>
      </w:r>
      <w:proofErr w:type="gramEnd"/>
      <w:r w:rsidRPr="00211277">
        <w:rPr>
          <w:rFonts w:ascii="Times New Roman" w:eastAsia="Times New Roman" w:hAnsi="Times New Roman" w:cs="Times New Roman"/>
        </w:rPr>
        <w:t xml:space="preserve"> such hand count procedures could include the verification of absentee ballots if the City/Town assumes responsibility for their processing and counting;</w:t>
      </w:r>
    </w:p>
    <w:p w14:paraId="449133D3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NOW, THEREFORE, BE IT RESOLVED BY THE [City/Town Council/Board] OF THE [Municipality Name]:</w:t>
      </w:r>
    </w:p>
    <w:p w14:paraId="117DFE12" w14:textId="77777777" w:rsidR="00211277" w:rsidRPr="00211277" w:rsidRDefault="009E0710" w:rsidP="00211277">
      <w:pPr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noProof/>
        </w:rPr>
        <w:pict w14:anchorId="4CF51DF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988B8E7" w14:textId="77777777" w:rsidR="00211277" w:rsidRPr="00211277" w:rsidRDefault="00211277" w:rsidP="0021127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127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1. Declaration of Intent</w:t>
      </w:r>
    </w:p>
    <w:p w14:paraId="7D2A50E1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The City/Town of [Municipality Name] declares its intent to implement an Election Day hand count and hand tally process for all precincts within its jurisdiction, contingent upon legislative changes permitting such activities.</w:t>
      </w:r>
    </w:p>
    <w:p w14:paraId="5B6DB535" w14:textId="77777777" w:rsidR="00211277" w:rsidRPr="00211277" w:rsidRDefault="009E0710" w:rsidP="00211277">
      <w:pPr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noProof/>
        </w:rPr>
        <w:pict w14:anchorId="728AB4B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ACD9AA2" w14:textId="77777777" w:rsidR="00211277" w:rsidRPr="00211277" w:rsidRDefault="00211277" w:rsidP="0021127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127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2. Purpose</w:t>
      </w:r>
    </w:p>
    <w:p w14:paraId="5CB1ED4D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This resolution is intended to:</w:t>
      </w:r>
    </w:p>
    <w:p w14:paraId="30E98282" w14:textId="77777777" w:rsidR="00211277" w:rsidRPr="00211277" w:rsidRDefault="00211277" w:rsidP="002112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Reaffirm the City/Town’s commitment to election accuracy and integrity.</w:t>
      </w:r>
    </w:p>
    <w:p w14:paraId="09407F69" w14:textId="77777777" w:rsidR="00211277" w:rsidRPr="00211277" w:rsidRDefault="00211277" w:rsidP="002112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Prepare for the execution of Election Day hand count procedures if permitted by law.</w:t>
      </w:r>
    </w:p>
    <w:p w14:paraId="0A648BE1" w14:textId="77777777" w:rsidR="00211277" w:rsidRPr="00211277" w:rsidRDefault="00211277" w:rsidP="0021127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Ensure that all ballots, including absentee ballots, are subject to the same rigorous verification standards.</w:t>
      </w:r>
    </w:p>
    <w:p w14:paraId="4E56FB13" w14:textId="77777777" w:rsidR="00211277" w:rsidRPr="00211277" w:rsidRDefault="009E0710" w:rsidP="00211277">
      <w:pPr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noProof/>
        </w:rPr>
        <w:pict w14:anchorId="4E42B3B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9EAD48D" w14:textId="77777777" w:rsidR="00211277" w:rsidRPr="00211277" w:rsidRDefault="00211277" w:rsidP="0021127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127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3. Implementation Process</w:t>
      </w:r>
    </w:p>
    <w:p w14:paraId="40E91E75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lastRenderedPageBreak/>
        <w:t>Upon legislative changes permitting Election Day hand counts, the City/Town will undertake the following steps to ensure effective implementation:</w:t>
      </w:r>
    </w:p>
    <w:p w14:paraId="4A424472" w14:textId="77777777" w:rsidR="00211277" w:rsidRPr="00211277" w:rsidRDefault="00211277" w:rsidP="002112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b/>
          <w:bCs/>
        </w:rPr>
        <w:t>Training Election Judges and Staff:</w:t>
      </w:r>
    </w:p>
    <w:p w14:paraId="6B48B05D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Develop and deliver comprehensive training programs for election judges and staff on hand count procedures, including the piling method and ballot handling.</w:t>
      </w:r>
    </w:p>
    <w:p w14:paraId="5EA2CFA7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Include specific training on counting absentee ballots for municipalities processing their own absentee votes.</w:t>
      </w:r>
    </w:p>
    <w:p w14:paraId="27051ADA" w14:textId="77777777" w:rsidR="00211277" w:rsidRPr="00211277" w:rsidRDefault="00211277" w:rsidP="002112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b/>
          <w:bCs/>
        </w:rPr>
        <w:t>Election Day Hand Count Plan:</w:t>
      </w:r>
    </w:p>
    <w:p w14:paraId="09E3E73A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Establish detailed plans for conducting hand counts at each precinct on Election Day.</w:t>
      </w:r>
    </w:p>
    <w:p w14:paraId="072A613C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Create protocols for reconciling hand count results with machine tallies and addressing discrepancies.</w:t>
      </w:r>
    </w:p>
    <w:p w14:paraId="7FE0E102" w14:textId="77777777" w:rsidR="00211277" w:rsidRPr="00211277" w:rsidRDefault="00211277" w:rsidP="002112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b/>
          <w:bCs/>
        </w:rPr>
        <w:t>Logistics and Resources:</w:t>
      </w:r>
    </w:p>
    <w:p w14:paraId="7124FBFD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Ensure the availability of adequate facilities, supplies, and personnel to conduct hand counts efficiently.</w:t>
      </w:r>
    </w:p>
    <w:p w14:paraId="32E41943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Provide secure storage and handling for all ballots during and after the hand count.</w:t>
      </w:r>
    </w:p>
    <w:p w14:paraId="73A9FF05" w14:textId="77777777" w:rsidR="00211277" w:rsidRPr="00211277" w:rsidRDefault="00211277" w:rsidP="002112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b/>
          <w:bCs/>
        </w:rPr>
        <w:t>Public Transparency:</w:t>
      </w:r>
    </w:p>
    <w:p w14:paraId="5BA9614B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Allow public observation of the hand count process in accordance with state law.</w:t>
      </w:r>
    </w:p>
    <w:p w14:paraId="0C066B77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Publish results of hand counts alongside machine tallies for public review.</w:t>
      </w:r>
    </w:p>
    <w:p w14:paraId="6D557950" w14:textId="77777777" w:rsidR="00211277" w:rsidRPr="00211277" w:rsidRDefault="00211277" w:rsidP="002112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b/>
          <w:bCs/>
        </w:rPr>
        <w:t>Collaboration with State and County Officials:</w:t>
      </w:r>
    </w:p>
    <w:p w14:paraId="031BDE0A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Coordinate with the Minnesota Secretary of State and County Auditor to align hand count practices with state guidelines and requirements.</w:t>
      </w:r>
    </w:p>
    <w:p w14:paraId="5F21CF5E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Seek guidance on integrating hand counts with existing postelection review processes.</w:t>
      </w:r>
    </w:p>
    <w:p w14:paraId="2F1D29A9" w14:textId="77777777" w:rsidR="00211277" w:rsidRPr="00211277" w:rsidRDefault="00211277" w:rsidP="002112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b/>
          <w:bCs/>
        </w:rPr>
        <w:t>Postelection Review:</w:t>
      </w:r>
    </w:p>
    <w:p w14:paraId="0CD40114" w14:textId="77777777" w:rsidR="00211277" w:rsidRPr="00211277" w:rsidRDefault="00211277" w:rsidP="0021127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Conduct a postelection review of the hand count process to identify improvements and ensure continued voter confidence.</w:t>
      </w:r>
    </w:p>
    <w:p w14:paraId="3C3A1716" w14:textId="77777777" w:rsidR="00211277" w:rsidRPr="00211277" w:rsidRDefault="009E0710" w:rsidP="00211277">
      <w:pPr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noProof/>
        </w:rPr>
        <w:pict w14:anchorId="6FF5E71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B947106" w14:textId="77777777" w:rsidR="00211277" w:rsidRPr="00211277" w:rsidRDefault="00211277" w:rsidP="0021127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127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4. Absentee Ballot Integration</w:t>
      </w:r>
    </w:p>
    <w:p w14:paraId="28C0B857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For municipalities that have assumed responsibility for absentee ballot processing and counting, the hand count plan shall:</w:t>
      </w:r>
    </w:p>
    <w:p w14:paraId="046CAE30" w14:textId="77777777" w:rsidR="00211277" w:rsidRPr="00211277" w:rsidRDefault="00211277" w:rsidP="0021127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Include absentee ballots in Election Day hand tally procedures.</w:t>
      </w:r>
    </w:p>
    <w:p w14:paraId="58630CFA" w14:textId="77777777" w:rsidR="00211277" w:rsidRPr="00211277" w:rsidRDefault="00211277" w:rsidP="0021127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Ensure consistent protocols for hand counting absentee and in-person ballots.</w:t>
      </w:r>
    </w:p>
    <w:p w14:paraId="6AF5ACBB" w14:textId="77777777" w:rsidR="00211277" w:rsidRPr="00211277" w:rsidRDefault="00211277" w:rsidP="0021127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Address logistical considerations, including secure transportation and storage of absentee ballots.</w:t>
      </w:r>
    </w:p>
    <w:p w14:paraId="6DF080EF" w14:textId="77777777" w:rsidR="00211277" w:rsidRPr="00211277" w:rsidRDefault="009E0710" w:rsidP="00211277">
      <w:pPr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noProof/>
        </w:rPr>
        <w:pict w14:anchorId="47AE8B1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E8F4C88" w14:textId="77777777" w:rsidR="00211277" w:rsidRPr="00211277" w:rsidRDefault="00211277" w:rsidP="0021127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127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5. Effective Date</w:t>
      </w:r>
    </w:p>
    <w:p w14:paraId="1A77D30D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lastRenderedPageBreak/>
        <w:t>This resolution shall take effect immediately upon its adoption, and the provisions outlined herein shall be implemented as soon as legislative changes permitting Election Day hand counts are enacted.</w:t>
      </w:r>
    </w:p>
    <w:p w14:paraId="01E864CE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Adopted by the [City/Town Council/Board] of the [Municipality Name] on this [date] day of [month], [year].</w:t>
      </w:r>
    </w:p>
    <w:p w14:paraId="4B6FE676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Signed:</w:t>
      </w:r>
    </w:p>
    <w:p w14:paraId="1EE91C7B" w14:textId="77777777" w:rsidR="00211277" w:rsidRPr="00211277" w:rsidRDefault="009E0710" w:rsidP="00211277">
      <w:pPr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noProof/>
        </w:rPr>
        <w:pict w14:anchorId="0E1A940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FF65C78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Mayor/Chairperson</w:t>
      </w:r>
    </w:p>
    <w:p w14:paraId="594653DD" w14:textId="77777777" w:rsidR="00211277" w:rsidRPr="00211277" w:rsidRDefault="009E0710" w:rsidP="00211277">
      <w:pPr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noProof/>
        </w:rPr>
        <w:pict w14:anchorId="2CAE6E0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A0C3141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City/Town Clerk</w:t>
      </w:r>
    </w:p>
    <w:p w14:paraId="40CA8100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b/>
          <w:bCs/>
        </w:rPr>
        <w:t>Certification:</w:t>
      </w:r>
      <w:r w:rsidRPr="00211277">
        <w:rPr>
          <w:rFonts w:ascii="Times New Roman" w:eastAsia="Times New Roman" w:hAnsi="Times New Roman" w:cs="Times New Roman"/>
        </w:rPr>
        <w:br/>
        <w:t>I hereby certify that the foregoing resolution was duly adopted by the [City/Town Council/Board] of the [Municipality Name] at a regular meeting held on [date], and that a quorum was present.</w:t>
      </w:r>
    </w:p>
    <w:p w14:paraId="33C3B68A" w14:textId="77777777" w:rsidR="00211277" w:rsidRPr="00211277" w:rsidRDefault="009E0710" w:rsidP="00211277">
      <w:pPr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  <w:noProof/>
        </w:rPr>
        <w:pict w14:anchorId="3ABF919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63EA84B" w14:textId="77777777" w:rsidR="00211277" w:rsidRPr="00211277" w:rsidRDefault="00211277" w:rsidP="0021127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1277">
        <w:rPr>
          <w:rFonts w:ascii="Times New Roman" w:eastAsia="Times New Roman" w:hAnsi="Times New Roman" w:cs="Times New Roman"/>
        </w:rPr>
        <w:t>City/Town Clerk</w:t>
      </w:r>
    </w:p>
    <w:p w14:paraId="5FB7DC9B" w14:textId="77777777" w:rsidR="009330DA" w:rsidRDefault="009330DA"/>
    <w:sectPr w:rsidR="0093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9B0"/>
    <w:multiLevelType w:val="multilevel"/>
    <w:tmpl w:val="872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2482D"/>
    <w:multiLevelType w:val="multilevel"/>
    <w:tmpl w:val="402C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D5200F"/>
    <w:multiLevelType w:val="multilevel"/>
    <w:tmpl w:val="1D9C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773338">
    <w:abstractNumId w:val="1"/>
  </w:num>
  <w:num w:numId="2" w16cid:durableId="1972055457">
    <w:abstractNumId w:val="2"/>
  </w:num>
  <w:num w:numId="3" w16cid:durableId="65707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77"/>
    <w:rsid w:val="00211277"/>
    <w:rsid w:val="00484A00"/>
    <w:rsid w:val="009330DA"/>
    <w:rsid w:val="009D6ABC"/>
    <w:rsid w:val="009E0710"/>
    <w:rsid w:val="00C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E824"/>
  <w15:chartTrackingRefBased/>
  <w15:docId w15:val="{F46F9BEF-71A9-704D-A3ED-7BA7E3BF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127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12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12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11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Mechelen</dc:creator>
  <cp:keywords/>
  <dc:description/>
  <cp:lastModifiedBy>Erik van Mechelen</cp:lastModifiedBy>
  <cp:revision>1</cp:revision>
  <dcterms:created xsi:type="dcterms:W3CDTF">2025-01-01T22:21:00Z</dcterms:created>
  <dcterms:modified xsi:type="dcterms:W3CDTF">2025-01-01T22:22:00Z</dcterms:modified>
</cp:coreProperties>
</file>