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I saw an article in the Star Tribune a few weeks back that said Anoka County was taking a stand on the North Star Train.  Ridership had plummeted and Anoka County didn’t want to pay for it anymore.  Anoka County was even going against Sherburne and Hennepin County on this.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 depended on that train for 9 years to get to work and I loved riding it.  But, as a financial analyst and a taxpayer I also knew the cost didn’t make sense.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In March of 2020 my job was sent home permanently.  My daughter’s old bedroom is now my full time office.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Pulling the plug on the train is not an easy decision. There was a lot of money invested and a lot of support for that train. But pulling the plug is the right call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Because things have changed.</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I’m not here to talk about the train.  That’s not my gig.  But the train is proof that Anoka County can make the tough calls.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 train and the voter machines are a lot alike.  We got a lot of money into those voter machines too and they have been around for nearly 20 years….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But things have changed.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The machines cannot be trusted anymore and we need to go back to hand counted paper ballots.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The Anoka County Board has demonstrated that they have both the leadership and the courage to stand alone when necessary.,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Now, Anoka County must protect the folks again and pull the plug on the voter machines too.</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Thank You</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